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5A884" w14:textId="77777777" w:rsidR="00554E4D" w:rsidRPr="00554E4D" w:rsidRDefault="00554E4D" w:rsidP="00554E4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554E4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>Приложение № 2</w:t>
      </w:r>
    </w:p>
    <w:p w14:paraId="36AE7F29" w14:textId="77777777" w:rsidR="00554E4D" w:rsidRPr="00554E4D" w:rsidRDefault="00554E4D" w:rsidP="00554E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ru-RU"/>
          <w14:ligatures w14:val="none"/>
        </w:rPr>
      </w:pPr>
      <w:r w:rsidRPr="00554E4D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ru-RU"/>
          <w14:ligatures w14:val="none"/>
        </w:rPr>
        <w:t>к</w:t>
      </w:r>
      <w:r w:rsidRPr="00554E4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 xml:space="preserve"> </w:t>
      </w:r>
      <w:r w:rsidRPr="00554E4D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ru-RU"/>
          <w14:ligatures w14:val="none"/>
        </w:rPr>
        <w:t>«Порядку выдачи займов сельскохозяйственным</w:t>
      </w:r>
    </w:p>
    <w:p w14:paraId="5F510C01" w14:textId="77777777" w:rsidR="00554E4D" w:rsidRPr="00554E4D" w:rsidRDefault="00554E4D" w:rsidP="00554E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ru-RU"/>
          <w14:ligatures w14:val="none"/>
        </w:rPr>
      </w:pPr>
      <w:r w:rsidRPr="00554E4D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ru-RU"/>
          <w14:ligatures w14:val="none"/>
        </w:rPr>
        <w:t>товаропроизводителям и организациям агропромышленного</w:t>
      </w:r>
    </w:p>
    <w:p w14:paraId="43466079" w14:textId="77777777" w:rsidR="00554E4D" w:rsidRPr="00554E4D" w:rsidRDefault="00554E4D" w:rsidP="00554E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ru-RU"/>
          <w14:ligatures w14:val="none"/>
        </w:rPr>
      </w:pPr>
      <w:r w:rsidRPr="00554E4D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ru-RU"/>
          <w14:ligatures w14:val="none"/>
        </w:rPr>
        <w:t>комплекса Нижегородской области», утвержденному Советом Фонда</w:t>
      </w:r>
    </w:p>
    <w:p w14:paraId="7DEFE130" w14:textId="77777777" w:rsidR="00554E4D" w:rsidRPr="00554E4D" w:rsidRDefault="00554E4D" w:rsidP="00554E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ru-RU"/>
          <w14:ligatures w14:val="none"/>
        </w:rPr>
      </w:pPr>
      <w:r w:rsidRPr="00554E4D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ru-RU"/>
          <w14:ligatures w14:val="none"/>
        </w:rPr>
        <w:t xml:space="preserve"> (Протокол № Сл-001-360206/19 от «15» ноября 2019 г.,</w:t>
      </w:r>
    </w:p>
    <w:p w14:paraId="769EE977" w14:textId="77777777" w:rsidR="00554E4D" w:rsidRPr="00554E4D" w:rsidRDefault="00554E4D" w:rsidP="00554E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554E4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                                                                                                      </w:t>
      </w:r>
      <w:r w:rsidRPr="00554E4D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ru-RU"/>
          <w14:ligatures w14:val="none"/>
        </w:rPr>
        <w:t>Протокол № 3 от «25» июня 2021 г.,</w:t>
      </w:r>
    </w:p>
    <w:p w14:paraId="496F8453" w14:textId="77777777" w:rsidR="00554E4D" w:rsidRPr="00554E4D" w:rsidRDefault="00554E4D" w:rsidP="00554E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554E4D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Протокол №Сл-001-211064/23 от 20 марта 2023 г.)</w:t>
      </w:r>
    </w:p>
    <w:p w14:paraId="56343500" w14:textId="77777777" w:rsidR="00554E4D" w:rsidRPr="00554E4D" w:rsidRDefault="00554E4D" w:rsidP="00554E4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</w:p>
    <w:p w14:paraId="2BE21A77" w14:textId="77777777" w:rsidR="00554E4D" w:rsidRPr="00554E4D" w:rsidRDefault="00554E4D" w:rsidP="00554E4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554E4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Условия выдачи займов сельскохозяйственным товаропроизводителям и организациям агропромышленного комплекса Нижегородской области с учетом целевого использования и нахождения заемщика на территории агроклиматической зоны.</w:t>
      </w:r>
    </w:p>
    <w:tbl>
      <w:tblPr>
        <w:tblStyle w:val="2"/>
        <w:tblW w:w="5000" w:type="pct"/>
        <w:jc w:val="center"/>
        <w:tblLook w:val="04A0" w:firstRow="1" w:lastRow="0" w:firstColumn="1" w:lastColumn="0" w:noHBand="0" w:noVBand="1"/>
      </w:tblPr>
      <w:tblGrid>
        <w:gridCol w:w="2674"/>
        <w:gridCol w:w="2235"/>
        <w:gridCol w:w="915"/>
        <w:gridCol w:w="1283"/>
        <w:gridCol w:w="2238"/>
      </w:tblGrid>
      <w:tr w:rsidR="00554E4D" w:rsidRPr="00554E4D" w14:paraId="386FF0CC" w14:textId="77777777" w:rsidTr="002F5CAA">
        <w:trPr>
          <w:jc w:val="center"/>
        </w:trPr>
        <w:tc>
          <w:tcPr>
            <w:tcW w:w="1436" w:type="pct"/>
          </w:tcPr>
          <w:p w14:paraId="1C1E1C6D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A35493B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E4D">
              <w:rPr>
                <w:rFonts w:ascii="Times New Roman" w:eastAsia="Calibri" w:hAnsi="Times New Roman" w:cs="Times New Roman"/>
                <w:sz w:val="20"/>
                <w:szCs w:val="20"/>
              </w:rPr>
              <w:t>Цели предоставления займов</w:t>
            </w:r>
          </w:p>
        </w:tc>
        <w:tc>
          <w:tcPr>
            <w:tcW w:w="1201" w:type="pct"/>
          </w:tcPr>
          <w:p w14:paraId="794728C8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E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Агроклиматические зоны Нижегородской области </w:t>
            </w:r>
          </w:p>
        </w:tc>
        <w:tc>
          <w:tcPr>
            <w:tcW w:w="495" w:type="pct"/>
          </w:tcPr>
          <w:p w14:paraId="39F48462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E4D">
              <w:rPr>
                <w:rFonts w:ascii="Times New Roman" w:eastAsia="Calibri" w:hAnsi="Times New Roman" w:cs="Times New Roman"/>
                <w:sz w:val="20"/>
                <w:szCs w:val="20"/>
              </w:rPr>
              <w:t>% ставка</w:t>
            </w:r>
          </w:p>
        </w:tc>
        <w:tc>
          <w:tcPr>
            <w:tcW w:w="666" w:type="pct"/>
          </w:tcPr>
          <w:p w14:paraId="748763AA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E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Срок пользования </w:t>
            </w:r>
          </w:p>
          <w:p w14:paraId="09075637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E4D">
              <w:rPr>
                <w:rFonts w:ascii="Times New Roman" w:eastAsia="Calibri" w:hAnsi="Times New Roman" w:cs="Times New Roman"/>
                <w:sz w:val="20"/>
                <w:szCs w:val="20"/>
              </w:rPr>
              <w:t>займом</w:t>
            </w:r>
          </w:p>
        </w:tc>
        <w:tc>
          <w:tcPr>
            <w:tcW w:w="1202" w:type="pct"/>
          </w:tcPr>
          <w:p w14:paraId="79832D5B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E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Лимит суммы займа </w:t>
            </w:r>
          </w:p>
        </w:tc>
      </w:tr>
      <w:tr w:rsidR="00554E4D" w:rsidRPr="00554E4D" w14:paraId="46D6CCB5" w14:textId="77777777" w:rsidTr="002F5CAA">
        <w:trPr>
          <w:trHeight w:val="516"/>
          <w:jc w:val="center"/>
        </w:trPr>
        <w:tc>
          <w:tcPr>
            <w:tcW w:w="1436" w:type="pct"/>
            <w:vMerge w:val="restart"/>
          </w:tcPr>
          <w:p w14:paraId="39759BF3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E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Пополнение оборотных средств </w:t>
            </w:r>
          </w:p>
        </w:tc>
        <w:tc>
          <w:tcPr>
            <w:tcW w:w="1201" w:type="pct"/>
          </w:tcPr>
          <w:p w14:paraId="6FEC8AF2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E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Центральная </w:t>
            </w:r>
          </w:p>
          <w:p w14:paraId="609B65AA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E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Южная </w:t>
            </w:r>
          </w:p>
        </w:tc>
        <w:tc>
          <w:tcPr>
            <w:tcW w:w="495" w:type="pct"/>
          </w:tcPr>
          <w:p w14:paraId="44981F6C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E4D">
              <w:rPr>
                <w:rFonts w:ascii="Times New Roman" w:eastAsia="Calibri" w:hAnsi="Times New Roman" w:cs="Times New Roman"/>
                <w:sz w:val="20"/>
                <w:szCs w:val="20"/>
              </w:rPr>
              <w:t>8,0%</w:t>
            </w:r>
          </w:p>
        </w:tc>
        <w:tc>
          <w:tcPr>
            <w:tcW w:w="666" w:type="pct"/>
            <w:vMerge w:val="restart"/>
          </w:tcPr>
          <w:p w14:paraId="1AFA44F5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E3432DD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E4D">
              <w:rPr>
                <w:rFonts w:ascii="Times New Roman" w:eastAsia="Calibri" w:hAnsi="Times New Roman" w:cs="Times New Roman"/>
                <w:sz w:val="20"/>
                <w:szCs w:val="20"/>
              </w:rPr>
              <w:t>До 1,5 лет</w:t>
            </w:r>
          </w:p>
        </w:tc>
        <w:tc>
          <w:tcPr>
            <w:tcW w:w="1202" w:type="pct"/>
            <w:vMerge w:val="restart"/>
          </w:tcPr>
          <w:p w14:paraId="0390032F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E4D">
              <w:rPr>
                <w:rFonts w:ascii="Times New Roman" w:eastAsia="Calibri" w:hAnsi="Times New Roman" w:cs="Times New Roman"/>
                <w:sz w:val="20"/>
                <w:szCs w:val="20"/>
              </w:rPr>
              <w:t>Не более 50% размера выручки за предыдущий отчетный год</w:t>
            </w:r>
          </w:p>
        </w:tc>
      </w:tr>
      <w:tr w:rsidR="00554E4D" w:rsidRPr="00554E4D" w14:paraId="3700E0CA" w14:textId="77777777" w:rsidTr="002F5CAA">
        <w:trPr>
          <w:trHeight w:val="341"/>
          <w:jc w:val="center"/>
        </w:trPr>
        <w:tc>
          <w:tcPr>
            <w:tcW w:w="1436" w:type="pct"/>
            <w:vMerge/>
          </w:tcPr>
          <w:p w14:paraId="39782328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1" w:type="pct"/>
          </w:tcPr>
          <w:p w14:paraId="50E9827B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E4D">
              <w:rPr>
                <w:rFonts w:ascii="Times New Roman" w:eastAsia="Calibri" w:hAnsi="Times New Roman" w:cs="Times New Roman"/>
                <w:sz w:val="20"/>
                <w:szCs w:val="20"/>
              </w:rPr>
              <w:t>Северная</w:t>
            </w:r>
          </w:p>
        </w:tc>
        <w:tc>
          <w:tcPr>
            <w:tcW w:w="495" w:type="pct"/>
          </w:tcPr>
          <w:p w14:paraId="293F976E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E4D">
              <w:rPr>
                <w:rFonts w:ascii="Times New Roman" w:eastAsia="Calibri" w:hAnsi="Times New Roman" w:cs="Times New Roman"/>
                <w:sz w:val="20"/>
                <w:szCs w:val="20"/>
              </w:rPr>
              <w:t>7,0%</w:t>
            </w:r>
          </w:p>
        </w:tc>
        <w:tc>
          <w:tcPr>
            <w:tcW w:w="666" w:type="pct"/>
            <w:vMerge/>
          </w:tcPr>
          <w:p w14:paraId="07A11C46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2" w:type="pct"/>
            <w:vMerge/>
          </w:tcPr>
          <w:p w14:paraId="4AC65D94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4E4D" w:rsidRPr="00554E4D" w14:paraId="0ED5A23D" w14:textId="77777777" w:rsidTr="002F5CAA">
        <w:trPr>
          <w:trHeight w:val="516"/>
          <w:jc w:val="center"/>
        </w:trPr>
        <w:tc>
          <w:tcPr>
            <w:tcW w:w="1436" w:type="pct"/>
            <w:vMerge w:val="restart"/>
          </w:tcPr>
          <w:p w14:paraId="37BC800C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Hlk164682524"/>
            <w:r w:rsidRPr="00554E4D">
              <w:rPr>
                <w:rFonts w:ascii="Times New Roman" w:eastAsia="Calibri" w:hAnsi="Times New Roman" w:cs="Times New Roman"/>
                <w:sz w:val="20"/>
                <w:szCs w:val="20"/>
              </w:rPr>
              <w:t>Приобретение основных средств, сельскохозяйственных животных</w:t>
            </w:r>
          </w:p>
        </w:tc>
        <w:tc>
          <w:tcPr>
            <w:tcW w:w="1201" w:type="pct"/>
          </w:tcPr>
          <w:p w14:paraId="55891DF5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E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Центральная </w:t>
            </w:r>
          </w:p>
          <w:p w14:paraId="084F126E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E4D">
              <w:rPr>
                <w:rFonts w:ascii="Times New Roman" w:eastAsia="Calibri" w:hAnsi="Times New Roman" w:cs="Times New Roman"/>
                <w:sz w:val="20"/>
                <w:szCs w:val="20"/>
              </w:rPr>
              <w:t>Южная</w:t>
            </w:r>
          </w:p>
        </w:tc>
        <w:tc>
          <w:tcPr>
            <w:tcW w:w="495" w:type="pct"/>
          </w:tcPr>
          <w:p w14:paraId="5C82B1F1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E4D">
              <w:rPr>
                <w:rFonts w:ascii="Times New Roman" w:eastAsia="Calibri" w:hAnsi="Times New Roman" w:cs="Times New Roman"/>
                <w:sz w:val="20"/>
                <w:szCs w:val="20"/>
              </w:rPr>
              <w:t>6,0%</w:t>
            </w:r>
          </w:p>
        </w:tc>
        <w:tc>
          <w:tcPr>
            <w:tcW w:w="666" w:type="pct"/>
            <w:vMerge w:val="restart"/>
          </w:tcPr>
          <w:p w14:paraId="1CF15C4B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26E78BE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E4D">
              <w:rPr>
                <w:rFonts w:ascii="Times New Roman" w:eastAsia="Calibri" w:hAnsi="Times New Roman" w:cs="Times New Roman"/>
                <w:sz w:val="20"/>
                <w:szCs w:val="20"/>
              </w:rPr>
              <w:t>До 5 лет</w:t>
            </w:r>
          </w:p>
        </w:tc>
        <w:tc>
          <w:tcPr>
            <w:tcW w:w="1202" w:type="pct"/>
            <w:vMerge w:val="restart"/>
          </w:tcPr>
          <w:p w14:paraId="131B0684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E4D">
              <w:rPr>
                <w:rFonts w:ascii="Times New Roman" w:eastAsia="Calibri" w:hAnsi="Times New Roman" w:cs="Times New Roman"/>
                <w:sz w:val="20"/>
                <w:szCs w:val="20"/>
              </w:rPr>
              <w:t>Не более 70% размера стоимости приобретаемого имущества</w:t>
            </w:r>
          </w:p>
        </w:tc>
      </w:tr>
      <w:bookmarkEnd w:id="0"/>
      <w:tr w:rsidR="00554E4D" w:rsidRPr="00554E4D" w14:paraId="3EB7E54F" w14:textId="77777777" w:rsidTr="002F5CAA">
        <w:trPr>
          <w:trHeight w:val="226"/>
          <w:jc w:val="center"/>
        </w:trPr>
        <w:tc>
          <w:tcPr>
            <w:tcW w:w="1436" w:type="pct"/>
            <w:vMerge/>
          </w:tcPr>
          <w:p w14:paraId="34BDBF0D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1" w:type="pct"/>
          </w:tcPr>
          <w:p w14:paraId="6E5714BC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E4D">
              <w:rPr>
                <w:rFonts w:ascii="Times New Roman" w:eastAsia="Calibri" w:hAnsi="Times New Roman" w:cs="Times New Roman"/>
                <w:sz w:val="20"/>
                <w:szCs w:val="20"/>
              </w:rPr>
              <w:t>Северная</w:t>
            </w:r>
          </w:p>
        </w:tc>
        <w:tc>
          <w:tcPr>
            <w:tcW w:w="495" w:type="pct"/>
          </w:tcPr>
          <w:p w14:paraId="1DC36749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E4D">
              <w:rPr>
                <w:rFonts w:ascii="Times New Roman" w:eastAsia="Calibri" w:hAnsi="Times New Roman" w:cs="Times New Roman"/>
                <w:sz w:val="20"/>
                <w:szCs w:val="20"/>
              </w:rPr>
              <w:t>5,5%</w:t>
            </w:r>
          </w:p>
        </w:tc>
        <w:tc>
          <w:tcPr>
            <w:tcW w:w="666" w:type="pct"/>
            <w:vMerge/>
          </w:tcPr>
          <w:p w14:paraId="6C5E2014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2" w:type="pct"/>
            <w:vMerge/>
          </w:tcPr>
          <w:p w14:paraId="720180D2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4E4D" w:rsidRPr="00554E4D" w14:paraId="340113B7" w14:textId="77777777" w:rsidTr="002F5CAA">
        <w:trPr>
          <w:trHeight w:val="513"/>
          <w:jc w:val="center"/>
        </w:trPr>
        <w:tc>
          <w:tcPr>
            <w:tcW w:w="1436" w:type="pct"/>
          </w:tcPr>
          <w:p w14:paraId="2FE4ECA1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E4D">
              <w:rPr>
                <w:rFonts w:ascii="Times New Roman" w:eastAsia="Calibri" w:hAnsi="Times New Roman" w:cs="Times New Roman"/>
                <w:sz w:val="20"/>
                <w:szCs w:val="20"/>
              </w:rPr>
              <w:t>Финансирование инвестиционного проекта:</w:t>
            </w:r>
          </w:p>
        </w:tc>
        <w:tc>
          <w:tcPr>
            <w:tcW w:w="1201" w:type="pct"/>
          </w:tcPr>
          <w:p w14:paraId="7C56A9A9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</w:tcPr>
          <w:p w14:paraId="23B7BC0C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" w:type="pct"/>
          </w:tcPr>
          <w:p w14:paraId="5AB5D161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C2E58D9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2" w:type="pct"/>
          </w:tcPr>
          <w:p w14:paraId="691331CE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6A95C9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4E4D" w:rsidRPr="00554E4D" w14:paraId="5123EC3F" w14:textId="77777777" w:rsidTr="002F5CAA">
        <w:trPr>
          <w:trHeight w:val="563"/>
          <w:jc w:val="center"/>
        </w:trPr>
        <w:tc>
          <w:tcPr>
            <w:tcW w:w="1436" w:type="pct"/>
            <w:vMerge w:val="restart"/>
          </w:tcPr>
          <w:p w14:paraId="285E2933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E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 все проекты, кроме проектов в области животноводства и растениеводства  </w:t>
            </w:r>
          </w:p>
        </w:tc>
        <w:tc>
          <w:tcPr>
            <w:tcW w:w="1201" w:type="pct"/>
          </w:tcPr>
          <w:p w14:paraId="3F5F5B93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E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Центральная </w:t>
            </w:r>
          </w:p>
          <w:p w14:paraId="4848EC45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E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Южная </w:t>
            </w:r>
          </w:p>
          <w:p w14:paraId="309CF30D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</w:tcPr>
          <w:p w14:paraId="1025075A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E4D">
              <w:rPr>
                <w:rFonts w:ascii="Times New Roman" w:eastAsia="Calibri" w:hAnsi="Times New Roman" w:cs="Times New Roman"/>
                <w:sz w:val="20"/>
                <w:szCs w:val="20"/>
              </w:rPr>
              <w:t>5,0%</w:t>
            </w:r>
          </w:p>
        </w:tc>
        <w:tc>
          <w:tcPr>
            <w:tcW w:w="666" w:type="pct"/>
            <w:vMerge w:val="restart"/>
          </w:tcPr>
          <w:p w14:paraId="7797C210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3FCCCC3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4480C82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B14D5DB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95D0B5A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E4D">
              <w:rPr>
                <w:rFonts w:ascii="Times New Roman" w:eastAsia="Calibri" w:hAnsi="Times New Roman" w:cs="Times New Roman"/>
                <w:sz w:val="20"/>
                <w:szCs w:val="20"/>
              </w:rPr>
              <w:t>До 7 лет</w:t>
            </w:r>
          </w:p>
        </w:tc>
        <w:tc>
          <w:tcPr>
            <w:tcW w:w="1202" w:type="pct"/>
            <w:vMerge w:val="restart"/>
          </w:tcPr>
          <w:p w14:paraId="71893889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84ACC7E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893C6D5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83F90AD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99E18A2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E4D">
              <w:rPr>
                <w:rFonts w:ascii="Times New Roman" w:eastAsia="Calibri" w:hAnsi="Times New Roman" w:cs="Times New Roman"/>
                <w:sz w:val="20"/>
                <w:szCs w:val="20"/>
              </w:rPr>
              <w:t>Не более 50% стоимости проекта</w:t>
            </w:r>
          </w:p>
        </w:tc>
      </w:tr>
      <w:tr w:rsidR="00554E4D" w:rsidRPr="00554E4D" w14:paraId="547FE9D8" w14:textId="77777777" w:rsidTr="002F5CAA">
        <w:trPr>
          <w:trHeight w:val="404"/>
          <w:jc w:val="center"/>
        </w:trPr>
        <w:tc>
          <w:tcPr>
            <w:tcW w:w="1436" w:type="pct"/>
            <w:vMerge/>
          </w:tcPr>
          <w:p w14:paraId="6A2B0E37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1" w:type="pct"/>
          </w:tcPr>
          <w:p w14:paraId="10CD5250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E4D">
              <w:rPr>
                <w:rFonts w:ascii="Times New Roman" w:eastAsia="Calibri" w:hAnsi="Times New Roman" w:cs="Times New Roman"/>
                <w:sz w:val="20"/>
                <w:szCs w:val="20"/>
              </w:rPr>
              <w:t>Северная</w:t>
            </w:r>
          </w:p>
        </w:tc>
        <w:tc>
          <w:tcPr>
            <w:tcW w:w="495" w:type="pct"/>
          </w:tcPr>
          <w:p w14:paraId="2FDB83FB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E4D">
              <w:rPr>
                <w:rFonts w:ascii="Times New Roman" w:eastAsia="Calibri" w:hAnsi="Times New Roman" w:cs="Times New Roman"/>
                <w:sz w:val="20"/>
                <w:szCs w:val="20"/>
              </w:rPr>
              <w:t>4,5%</w:t>
            </w:r>
          </w:p>
        </w:tc>
        <w:tc>
          <w:tcPr>
            <w:tcW w:w="666" w:type="pct"/>
            <w:vMerge/>
          </w:tcPr>
          <w:p w14:paraId="13630183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2" w:type="pct"/>
            <w:vMerge/>
          </w:tcPr>
          <w:p w14:paraId="583DC373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4E4D" w:rsidRPr="00554E4D" w14:paraId="61A4AD45" w14:textId="77777777" w:rsidTr="002F5CAA">
        <w:trPr>
          <w:trHeight w:val="120"/>
          <w:jc w:val="center"/>
        </w:trPr>
        <w:tc>
          <w:tcPr>
            <w:tcW w:w="1436" w:type="pct"/>
            <w:vMerge w:val="restart"/>
          </w:tcPr>
          <w:p w14:paraId="4A3ADFDB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FAAACF9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E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 области животноводства </w:t>
            </w:r>
          </w:p>
        </w:tc>
        <w:tc>
          <w:tcPr>
            <w:tcW w:w="1201" w:type="pct"/>
          </w:tcPr>
          <w:p w14:paraId="61BAB32F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E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Центральная </w:t>
            </w:r>
          </w:p>
          <w:p w14:paraId="5278ED09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E4D">
              <w:rPr>
                <w:rFonts w:ascii="Times New Roman" w:eastAsia="Calibri" w:hAnsi="Times New Roman" w:cs="Times New Roman"/>
                <w:sz w:val="20"/>
                <w:szCs w:val="20"/>
              </w:rPr>
              <w:t>Южная</w:t>
            </w:r>
          </w:p>
        </w:tc>
        <w:tc>
          <w:tcPr>
            <w:tcW w:w="495" w:type="pct"/>
          </w:tcPr>
          <w:p w14:paraId="042A5FBE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E4D">
              <w:rPr>
                <w:rFonts w:ascii="Times New Roman" w:eastAsia="Calibri" w:hAnsi="Times New Roman" w:cs="Times New Roman"/>
                <w:sz w:val="20"/>
                <w:szCs w:val="20"/>
              </w:rPr>
              <w:t>4,0%</w:t>
            </w:r>
          </w:p>
        </w:tc>
        <w:tc>
          <w:tcPr>
            <w:tcW w:w="666" w:type="pct"/>
            <w:vMerge/>
          </w:tcPr>
          <w:p w14:paraId="68A7BDF5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2" w:type="pct"/>
            <w:vMerge/>
          </w:tcPr>
          <w:p w14:paraId="062F5A37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4E4D" w:rsidRPr="00554E4D" w14:paraId="1D1D62E8" w14:textId="77777777" w:rsidTr="002F5CAA">
        <w:trPr>
          <w:trHeight w:val="284"/>
          <w:jc w:val="center"/>
        </w:trPr>
        <w:tc>
          <w:tcPr>
            <w:tcW w:w="1436" w:type="pct"/>
            <w:vMerge/>
          </w:tcPr>
          <w:p w14:paraId="0598203D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1" w:type="pct"/>
          </w:tcPr>
          <w:p w14:paraId="3819746A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E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Северная</w:t>
            </w:r>
          </w:p>
        </w:tc>
        <w:tc>
          <w:tcPr>
            <w:tcW w:w="495" w:type="pct"/>
          </w:tcPr>
          <w:p w14:paraId="4393DF73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E4D">
              <w:rPr>
                <w:rFonts w:ascii="Times New Roman" w:eastAsia="Calibri" w:hAnsi="Times New Roman" w:cs="Times New Roman"/>
                <w:sz w:val="20"/>
                <w:szCs w:val="20"/>
              </w:rPr>
              <w:t>3,5%</w:t>
            </w:r>
          </w:p>
        </w:tc>
        <w:tc>
          <w:tcPr>
            <w:tcW w:w="666" w:type="pct"/>
            <w:vMerge/>
          </w:tcPr>
          <w:p w14:paraId="1AF0098F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2" w:type="pct"/>
            <w:vMerge/>
          </w:tcPr>
          <w:p w14:paraId="05AB7112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4E4D" w:rsidRPr="00554E4D" w14:paraId="6FB17E23" w14:textId="77777777" w:rsidTr="002F5CAA">
        <w:trPr>
          <w:trHeight w:val="399"/>
          <w:jc w:val="center"/>
        </w:trPr>
        <w:tc>
          <w:tcPr>
            <w:tcW w:w="1436" w:type="pct"/>
            <w:vMerge w:val="restart"/>
          </w:tcPr>
          <w:p w14:paraId="0B682DEF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E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 области растениеводства </w:t>
            </w:r>
          </w:p>
        </w:tc>
        <w:tc>
          <w:tcPr>
            <w:tcW w:w="1201" w:type="pct"/>
          </w:tcPr>
          <w:p w14:paraId="36B6E086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E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Центральная </w:t>
            </w:r>
          </w:p>
          <w:p w14:paraId="20D03F16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E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Южная </w:t>
            </w:r>
          </w:p>
        </w:tc>
        <w:tc>
          <w:tcPr>
            <w:tcW w:w="495" w:type="pct"/>
          </w:tcPr>
          <w:p w14:paraId="7010F0A0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E4D">
              <w:rPr>
                <w:rFonts w:ascii="Times New Roman" w:eastAsia="Calibri" w:hAnsi="Times New Roman" w:cs="Times New Roman"/>
                <w:sz w:val="20"/>
                <w:szCs w:val="20"/>
              </w:rPr>
              <w:t>5,0%</w:t>
            </w:r>
          </w:p>
        </w:tc>
        <w:tc>
          <w:tcPr>
            <w:tcW w:w="666" w:type="pct"/>
            <w:vMerge/>
          </w:tcPr>
          <w:p w14:paraId="54EC2ED2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2" w:type="pct"/>
            <w:vMerge/>
          </w:tcPr>
          <w:p w14:paraId="03CD2282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4E4D" w:rsidRPr="00554E4D" w14:paraId="04F2BA6C" w14:textId="77777777" w:rsidTr="002F5CAA">
        <w:trPr>
          <w:trHeight w:val="304"/>
          <w:jc w:val="center"/>
        </w:trPr>
        <w:tc>
          <w:tcPr>
            <w:tcW w:w="1436" w:type="pct"/>
            <w:vMerge/>
          </w:tcPr>
          <w:p w14:paraId="0740E54D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1" w:type="pct"/>
          </w:tcPr>
          <w:p w14:paraId="5FA973B1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E4D">
              <w:rPr>
                <w:rFonts w:ascii="Times New Roman" w:eastAsia="Calibri" w:hAnsi="Times New Roman" w:cs="Times New Roman"/>
                <w:sz w:val="20"/>
                <w:szCs w:val="20"/>
              </w:rPr>
              <w:t>Северная</w:t>
            </w:r>
          </w:p>
        </w:tc>
        <w:tc>
          <w:tcPr>
            <w:tcW w:w="495" w:type="pct"/>
          </w:tcPr>
          <w:p w14:paraId="02C83A67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E4D">
              <w:rPr>
                <w:rFonts w:ascii="Times New Roman" w:eastAsia="Calibri" w:hAnsi="Times New Roman" w:cs="Times New Roman"/>
                <w:sz w:val="20"/>
                <w:szCs w:val="20"/>
              </w:rPr>
              <w:t>4,5 %</w:t>
            </w:r>
          </w:p>
        </w:tc>
        <w:tc>
          <w:tcPr>
            <w:tcW w:w="666" w:type="pct"/>
            <w:vMerge/>
          </w:tcPr>
          <w:p w14:paraId="56752083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2" w:type="pct"/>
            <w:vMerge/>
          </w:tcPr>
          <w:p w14:paraId="666D2A0A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4E4D" w:rsidRPr="00554E4D" w14:paraId="0EC62756" w14:textId="77777777" w:rsidTr="002F5CAA">
        <w:trPr>
          <w:trHeight w:val="516"/>
          <w:jc w:val="center"/>
        </w:trPr>
        <w:tc>
          <w:tcPr>
            <w:tcW w:w="1436" w:type="pct"/>
          </w:tcPr>
          <w:p w14:paraId="6EE66D37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E4D">
              <w:rPr>
                <w:rFonts w:ascii="Times New Roman" w:eastAsia="Calibri" w:hAnsi="Times New Roman" w:cs="Times New Roman"/>
                <w:sz w:val="20"/>
                <w:szCs w:val="20"/>
              </w:rPr>
              <w:t>На цели, реализация которых направлена на комплексное развитие сельских территорий</w:t>
            </w:r>
          </w:p>
        </w:tc>
        <w:tc>
          <w:tcPr>
            <w:tcW w:w="1201" w:type="pct"/>
          </w:tcPr>
          <w:p w14:paraId="18F8C8B9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E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Центральная </w:t>
            </w:r>
          </w:p>
          <w:p w14:paraId="1B3930DC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E4D">
              <w:rPr>
                <w:rFonts w:ascii="Times New Roman" w:eastAsia="Calibri" w:hAnsi="Times New Roman" w:cs="Times New Roman"/>
                <w:sz w:val="20"/>
                <w:szCs w:val="20"/>
              </w:rPr>
              <w:t>Южная</w:t>
            </w:r>
          </w:p>
          <w:p w14:paraId="7C141E9E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E4D">
              <w:rPr>
                <w:rFonts w:ascii="Times New Roman" w:eastAsia="Calibri" w:hAnsi="Times New Roman" w:cs="Times New Roman"/>
                <w:sz w:val="20"/>
                <w:szCs w:val="20"/>
              </w:rPr>
              <w:t>Северная</w:t>
            </w:r>
          </w:p>
        </w:tc>
        <w:tc>
          <w:tcPr>
            <w:tcW w:w="2363" w:type="pct"/>
            <w:gridSpan w:val="3"/>
          </w:tcPr>
          <w:p w14:paraId="2AE7842B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E4D">
              <w:rPr>
                <w:rFonts w:ascii="Times New Roman" w:eastAsia="Calibri" w:hAnsi="Times New Roman" w:cs="Times New Roman"/>
                <w:sz w:val="20"/>
                <w:szCs w:val="20"/>
              </w:rPr>
              <w:t>Условия предоставления займов принимаются Советом Фонда индивидуально</w:t>
            </w:r>
          </w:p>
        </w:tc>
      </w:tr>
    </w:tbl>
    <w:p w14:paraId="62DFCD2E" w14:textId="77777777" w:rsidR="00554E4D" w:rsidRPr="00554E4D" w:rsidRDefault="00554E4D" w:rsidP="00554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</w:pPr>
    </w:p>
    <w:p w14:paraId="3ECF4DBB" w14:textId="77777777" w:rsidR="00554E4D" w:rsidRPr="00554E4D" w:rsidRDefault="00554E4D" w:rsidP="00554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</w:pPr>
      <w:r w:rsidRPr="00554E4D"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 xml:space="preserve">Индивидуальные условия предоставления займов предприятиям агропромышленного комплекса всех форм собственности могут определяться </w:t>
      </w:r>
      <w:bookmarkStart w:id="1" w:name="_Hlk164689254"/>
      <w:r w:rsidRPr="00554E4D"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>по решению Совета Фонда</w:t>
      </w:r>
      <w:bookmarkEnd w:id="1"/>
      <w:r w:rsidRPr="00554E4D"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>.</w:t>
      </w:r>
    </w:p>
    <w:p w14:paraId="31E5C79D" w14:textId="77777777" w:rsidR="00554E4D" w:rsidRPr="00554E4D" w:rsidRDefault="00554E4D" w:rsidP="00554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53AD4021" w14:textId="77777777" w:rsidR="00554E4D" w:rsidRPr="00554E4D" w:rsidRDefault="00554E4D" w:rsidP="00554E4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554E4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lastRenderedPageBreak/>
        <w:t>Перечень городских и муниципальных округов территорий Нижегородской области с учетом деления по трем агроклиматическим зонам: Центральная, Южная, Северная.</w:t>
      </w:r>
    </w:p>
    <w:p w14:paraId="38820323" w14:textId="77777777" w:rsidR="00554E4D" w:rsidRPr="00554E4D" w:rsidRDefault="00554E4D" w:rsidP="00554E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</w:pPr>
      <w:r w:rsidRPr="00554E4D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Перечень составлен в соответствии с Указом Губернатора Нижегородской области № 135 от 31.10.2014г.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3502"/>
        <w:gridCol w:w="2875"/>
        <w:gridCol w:w="2968"/>
      </w:tblGrid>
      <w:tr w:rsidR="00554E4D" w:rsidRPr="00554E4D" w14:paraId="2D2BAE3C" w14:textId="77777777" w:rsidTr="002F5CAA">
        <w:tc>
          <w:tcPr>
            <w:tcW w:w="1873" w:type="pct"/>
          </w:tcPr>
          <w:p w14:paraId="6EBF24B0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54E4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Муниципальные районы (городские округа)</w:t>
            </w:r>
          </w:p>
          <w:p w14:paraId="35EF5F03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54E4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«Центральной» зоны</w:t>
            </w:r>
          </w:p>
        </w:tc>
        <w:tc>
          <w:tcPr>
            <w:tcW w:w="1538" w:type="pct"/>
          </w:tcPr>
          <w:p w14:paraId="3B1CBF4C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54E4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Муниципальные районы (городские округа)</w:t>
            </w:r>
          </w:p>
          <w:p w14:paraId="58E38BD8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54E4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«Южной» зоны</w:t>
            </w:r>
          </w:p>
        </w:tc>
        <w:tc>
          <w:tcPr>
            <w:tcW w:w="1588" w:type="pct"/>
          </w:tcPr>
          <w:p w14:paraId="2C78B104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54E4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Муниципальные районы (городские округа) «Северной» зоны</w:t>
            </w:r>
          </w:p>
        </w:tc>
      </w:tr>
      <w:tr w:rsidR="00554E4D" w:rsidRPr="00554E4D" w14:paraId="14DFB901" w14:textId="77777777" w:rsidTr="002F5CAA">
        <w:tc>
          <w:tcPr>
            <w:tcW w:w="1873" w:type="pct"/>
          </w:tcPr>
          <w:p w14:paraId="7FC80E15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E4D">
              <w:rPr>
                <w:rFonts w:ascii="Times New Roman" w:eastAsia="Calibri" w:hAnsi="Times New Roman" w:cs="Times New Roman"/>
                <w:sz w:val="18"/>
                <w:szCs w:val="18"/>
              </w:rPr>
              <w:t>городской округ г. Арзамас</w:t>
            </w:r>
          </w:p>
        </w:tc>
        <w:tc>
          <w:tcPr>
            <w:tcW w:w="1538" w:type="pct"/>
          </w:tcPr>
          <w:p w14:paraId="38D1371D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E4D">
              <w:rPr>
                <w:rFonts w:ascii="Times New Roman" w:eastAsia="Calibri" w:hAnsi="Times New Roman" w:cs="Times New Roman"/>
                <w:sz w:val="18"/>
                <w:szCs w:val="18"/>
              </w:rPr>
              <w:t>Ардатовский муниципальный округ</w:t>
            </w:r>
          </w:p>
        </w:tc>
        <w:tc>
          <w:tcPr>
            <w:tcW w:w="1588" w:type="pct"/>
          </w:tcPr>
          <w:p w14:paraId="4D3C1433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E4D">
              <w:rPr>
                <w:rFonts w:ascii="Times New Roman" w:eastAsia="Calibri" w:hAnsi="Times New Roman" w:cs="Times New Roman"/>
                <w:sz w:val="18"/>
                <w:szCs w:val="18"/>
              </w:rPr>
              <w:t>Балахнинский муниципальный округ</w:t>
            </w:r>
          </w:p>
        </w:tc>
      </w:tr>
      <w:tr w:rsidR="00554E4D" w:rsidRPr="00554E4D" w14:paraId="406CA664" w14:textId="77777777" w:rsidTr="002F5CAA">
        <w:tc>
          <w:tcPr>
            <w:tcW w:w="1873" w:type="pct"/>
          </w:tcPr>
          <w:p w14:paraId="65C911FC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E4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Богородский муниципальный округ</w:t>
            </w:r>
          </w:p>
        </w:tc>
        <w:tc>
          <w:tcPr>
            <w:tcW w:w="1538" w:type="pct"/>
          </w:tcPr>
          <w:p w14:paraId="6DC3DA58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E4D">
              <w:rPr>
                <w:rFonts w:ascii="Times New Roman" w:eastAsia="Calibri" w:hAnsi="Times New Roman" w:cs="Times New Roman"/>
                <w:sz w:val="18"/>
                <w:szCs w:val="18"/>
              </w:rPr>
              <w:t>Большеболдинский муниципальный округ</w:t>
            </w:r>
          </w:p>
        </w:tc>
        <w:tc>
          <w:tcPr>
            <w:tcW w:w="1588" w:type="pct"/>
          </w:tcPr>
          <w:p w14:paraId="0D9C4E18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E4D">
              <w:rPr>
                <w:rFonts w:ascii="Times New Roman" w:eastAsia="Calibri" w:hAnsi="Times New Roman" w:cs="Times New Roman"/>
                <w:sz w:val="18"/>
                <w:szCs w:val="18"/>
              </w:rPr>
              <w:t>Варнавинский муниципальный округ</w:t>
            </w:r>
          </w:p>
        </w:tc>
      </w:tr>
      <w:tr w:rsidR="00554E4D" w:rsidRPr="00554E4D" w14:paraId="70B5F42E" w14:textId="77777777" w:rsidTr="002F5CAA">
        <w:tc>
          <w:tcPr>
            <w:tcW w:w="1873" w:type="pct"/>
          </w:tcPr>
          <w:p w14:paraId="23382299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E4D">
              <w:rPr>
                <w:rFonts w:ascii="Times New Roman" w:eastAsia="Calibri" w:hAnsi="Times New Roman" w:cs="Times New Roman"/>
                <w:sz w:val="18"/>
                <w:szCs w:val="18"/>
              </w:rPr>
              <w:t>Большемурашкинский муниципальный округ</w:t>
            </w:r>
          </w:p>
        </w:tc>
        <w:tc>
          <w:tcPr>
            <w:tcW w:w="1538" w:type="pct"/>
          </w:tcPr>
          <w:p w14:paraId="3B93FA02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E4D">
              <w:rPr>
                <w:rFonts w:ascii="Times New Roman" w:eastAsia="Calibri" w:hAnsi="Times New Roman" w:cs="Times New Roman"/>
                <w:sz w:val="18"/>
                <w:szCs w:val="18"/>
              </w:rPr>
              <w:t>Бутурлинский муниципальный округ</w:t>
            </w:r>
          </w:p>
        </w:tc>
        <w:tc>
          <w:tcPr>
            <w:tcW w:w="1588" w:type="pct"/>
          </w:tcPr>
          <w:p w14:paraId="36EB01EF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E4D">
              <w:rPr>
                <w:rFonts w:ascii="Times New Roman" w:eastAsia="Calibri" w:hAnsi="Times New Roman" w:cs="Times New Roman"/>
                <w:sz w:val="18"/>
                <w:szCs w:val="18"/>
              </w:rPr>
              <w:t>Ветлужский муниципальный округ</w:t>
            </w:r>
          </w:p>
        </w:tc>
      </w:tr>
      <w:tr w:rsidR="00554E4D" w:rsidRPr="00554E4D" w14:paraId="3D780E54" w14:textId="77777777" w:rsidTr="002F5CAA">
        <w:tc>
          <w:tcPr>
            <w:tcW w:w="1873" w:type="pct"/>
          </w:tcPr>
          <w:p w14:paraId="0F65780F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E4D">
              <w:rPr>
                <w:rFonts w:ascii="Times New Roman" w:eastAsia="Calibri" w:hAnsi="Times New Roman" w:cs="Times New Roman"/>
                <w:sz w:val="18"/>
                <w:szCs w:val="18"/>
              </w:rPr>
              <w:t>Вадский муниципальный округ</w:t>
            </w:r>
          </w:p>
        </w:tc>
        <w:tc>
          <w:tcPr>
            <w:tcW w:w="1538" w:type="pct"/>
          </w:tcPr>
          <w:p w14:paraId="42BB87EE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E4D">
              <w:rPr>
                <w:rFonts w:ascii="Times New Roman" w:eastAsia="Calibri" w:hAnsi="Times New Roman" w:cs="Times New Roman"/>
                <w:sz w:val="18"/>
                <w:szCs w:val="18"/>
              </w:rPr>
              <w:t>Вознесенский муниципальный округ</w:t>
            </w:r>
          </w:p>
        </w:tc>
        <w:tc>
          <w:tcPr>
            <w:tcW w:w="1588" w:type="pct"/>
          </w:tcPr>
          <w:p w14:paraId="2F5A7CF2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E4D">
              <w:rPr>
                <w:rFonts w:ascii="Times New Roman" w:eastAsia="Calibri" w:hAnsi="Times New Roman" w:cs="Times New Roman"/>
                <w:sz w:val="18"/>
                <w:szCs w:val="18"/>
              </w:rPr>
              <w:t>Воскресенский муниципальный округ</w:t>
            </w:r>
          </w:p>
        </w:tc>
      </w:tr>
      <w:tr w:rsidR="00554E4D" w:rsidRPr="00554E4D" w14:paraId="5EE72336" w14:textId="77777777" w:rsidTr="002F5CAA">
        <w:tc>
          <w:tcPr>
            <w:tcW w:w="1873" w:type="pct"/>
          </w:tcPr>
          <w:p w14:paraId="41CA921E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E4D">
              <w:rPr>
                <w:rFonts w:ascii="Times New Roman" w:eastAsia="Calibri" w:hAnsi="Times New Roman" w:cs="Times New Roman"/>
                <w:sz w:val="18"/>
                <w:szCs w:val="18"/>
              </w:rPr>
              <w:t>Вачский муниципальный округ</w:t>
            </w:r>
          </w:p>
        </w:tc>
        <w:tc>
          <w:tcPr>
            <w:tcW w:w="1538" w:type="pct"/>
          </w:tcPr>
          <w:p w14:paraId="13546E6E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E4D">
              <w:rPr>
                <w:rFonts w:ascii="Times New Roman" w:eastAsia="Calibri" w:hAnsi="Times New Roman" w:cs="Times New Roman"/>
                <w:sz w:val="18"/>
                <w:szCs w:val="18"/>
              </w:rPr>
              <w:t>Гагинский муниципальный округ</w:t>
            </w:r>
          </w:p>
        </w:tc>
        <w:tc>
          <w:tcPr>
            <w:tcW w:w="1588" w:type="pct"/>
          </w:tcPr>
          <w:p w14:paraId="291D2A29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E4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Городецкий муниципальный округ </w:t>
            </w:r>
          </w:p>
        </w:tc>
      </w:tr>
      <w:tr w:rsidR="00554E4D" w:rsidRPr="00554E4D" w14:paraId="082054CD" w14:textId="77777777" w:rsidTr="002F5CAA">
        <w:tc>
          <w:tcPr>
            <w:tcW w:w="1873" w:type="pct"/>
          </w:tcPr>
          <w:p w14:paraId="643EB0EC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E4D">
              <w:rPr>
                <w:rFonts w:ascii="Times New Roman" w:eastAsia="Calibri" w:hAnsi="Times New Roman" w:cs="Times New Roman"/>
                <w:sz w:val="18"/>
                <w:szCs w:val="18"/>
              </w:rPr>
              <w:t>городской округ Воротынский</w:t>
            </w:r>
          </w:p>
        </w:tc>
        <w:tc>
          <w:tcPr>
            <w:tcW w:w="1538" w:type="pct"/>
          </w:tcPr>
          <w:p w14:paraId="54163390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E4D">
              <w:rPr>
                <w:rFonts w:ascii="Times New Roman" w:eastAsia="Calibri" w:hAnsi="Times New Roman" w:cs="Times New Roman"/>
                <w:sz w:val="18"/>
                <w:szCs w:val="18"/>
              </w:rPr>
              <w:t>Дивеевский муниципальный округ</w:t>
            </w:r>
          </w:p>
        </w:tc>
        <w:tc>
          <w:tcPr>
            <w:tcW w:w="1588" w:type="pct"/>
          </w:tcPr>
          <w:p w14:paraId="72C4EF61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E4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Ковернинский муниципальный округ  </w:t>
            </w:r>
          </w:p>
        </w:tc>
      </w:tr>
      <w:tr w:rsidR="00554E4D" w:rsidRPr="00554E4D" w14:paraId="05C7BE85" w14:textId="77777777" w:rsidTr="002F5CAA">
        <w:tc>
          <w:tcPr>
            <w:tcW w:w="1873" w:type="pct"/>
          </w:tcPr>
          <w:p w14:paraId="5B61F9FD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E4D">
              <w:rPr>
                <w:rFonts w:ascii="Times New Roman" w:eastAsia="Calibri" w:hAnsi="Times New Roman" w:cs="Times New Roman"/>
                <w:sz w:val="18"/>
                <w:szCs w:val="18"/>
              </w:rPr>
              <w:t>Володарский муниципальный округ</w:t>
            </w:r>
          </w:p>
        </w:tc>
        <w:tc>
          <w:tcPr>
            <w:tcW w:w="1538" w:type="pct"/>
          </w:tcPr>
          <w:p w14:paraId="58C03D9E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E4D">
              <w:rPr>
                <w:rFonts w:ascii="Times New Roman" w:eastAsia="Calibri" w:hAnsi="Times New Roman" w:cs="Times New Roman"/>
                <w:sz w:val="18"/>
                <w:szCs w:val="18"/>
              </w:rPr>
              <w:t>Краснооктябрьский муниципальный округ</w:t>
            </w:r>
          </w:p>
        </w:tc>
        <w:tc>
          <w:tcPr>
            <w:tcW w:w="1588" w:type="pct"/>
          </w:tcPr>
          <w:p w14:paraId="6208C704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E4D">
              <w:rPr>
                <w:rFonts w:ascii="Times New Roman" w:eastAsia="Calibri" w:hAnsi="Times New Roman" w:cs="Times New Roman"/>
                <w:sz w:val="18"/>
                <w:szCs w:val="18"/>
              </w:rPr>
              <w:t>Краснобаковский муниципальный округ</w:t>
            </w:r>
          </w:p>
        </w:tc>
      </w:tr>
      <w:tr w:rsidR="00554E4D" w:rsidRPr="00554E4D" w14:paraId="40B95D09" w14:textId="77777777" w:rsidTr="002F5CAA">
        <w:tc>
          <w:tcPr>
            <w:tcW w:w="1873" w:type="pct"/>
          </w:tcPr>
          <w:p w14:paraId="5AE4B487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E4D">
              <w:rPr>
                <w:rFonts w:ascii="Times New Roman" w:eastAsia="Calibri" w:hAnsi="Times New Roman" w:cs="Times New Roman"/>
                <w:sz w:val="18"/>
                <w:szCs w:val="18"/>
              </w:rPr>
              <w:t>Дальнеконстантиновский муниципальный округ</w:t>
            </w:r>
          </w:p>
        </w:tc>
        <w:tc>
          <w:tcPr>
            <w:tcW w:w="1538" w:type="pct"/>
          </w:tcPr>
          <w:p w14:paraId="12EE9270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E4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Лукояновский муниципальный округ </w:t>
            </w:r>
          </w:p>
        </w:tc>
        <w:tc>
          <w:tcPr>
            <w:tcW w:w="1588" w:type="pct"/>
          </w:tcPr>
          <w:p w14:paraId="65747BAC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E4D">
              <w:rPr>
                <w:rFonts w:ascii="Times New Roman" w:eastAsia="Calibri" w:hAnsi="Times New Roman" w:cs="Times New Roman"/>
                <w:sz w:val="18"/>
                <w:szCs w:val="18"/>
              </w:rPr>
              <w:t>Тонкинский муниципальный округ</w:t>
            </w:r>
          </w:p>
        </w:tc>
      </w:tr>
      <w:tr w:rsidR="00554E4D" w:rsidRPr="00554E4D" w14:paraId="1F626AFD" w14:textId="77777777" w:rsidTr="002F5CAA">
        <w:tc>
          <w:tcPr>
            <w:tcW w:w="1873" w:type="pct"/>
          </w:tcPr>
          <w:p w14:paraId="2232FD29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E4D">
              <w:rPr>
                <w:rFonts w:ascii="Times New Roman" w:eastAsia="Calibri" w:hAnsi="Times New Roman" w:cs="Times New Roman"/>
                <w:sz w:val="18"/>
                <w:szCs w:val="18"/>
              </w:rPr>
              <w:t>Княгининский муниципальный округ</w:t>
            </w:r>
          </w:p>
        </w:tc>
        <w:tc>
          <w:tcPr>
            <w:tcW w:w="1538" w:type="pct"/>
          </w:tcPr>
          <w:p w14:paraId="1926CE09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E4D">
              <w:rPr>
                <w:rFonts w:ascii="Times New Roman" w:eastAsia="Calibri" w:hAnsi="Times New Roman" w:cs="Times New Roman"/>
                <w:sz w:val="18"/>
                <w:szCs w:val="18"/>
              </w:rPr>
              <w:t>Пильнинский муниципальный округ</w:t>
            </w:r>
          </w:p>
        </w:tc>
        <w:tc>
          <w:tcPr>
            <w:tcW w:w="1588" w:type="pct"/>
          </w:tcPr>
          <w:p w14:paraId="00BAF555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E4D">
              <w:rPr>
                <w:rFonts w:ascii="Times New Roman" w:eastAsia="Calibri" w:hAnsi="Times New Roman" w:cs="Times New Roman"/>
                <w:sz w:val="18"/>
                <w:szCs w:val="18"/>
              </w:rPr>
              <w:t>Тоншаевский муниципальный круг</w:t>
            </w:r>
          </w:p>
        </w:tc>
      </w:tr>
      <w:tr w:rsidR="00554E4D" w:rsidRPr="00554E4D" w14:paraId="27FF72E2" w14:textId="77777777" w:rsidTr="002F5CAA">
        <w:tc>
          <w:tcPr>
            <w:tcW w:w="1873" w:type="pct"/>
          </w:tcPr>
          <w:p w14:paraId="1DAF2CBA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E4D">
              <w:rPr>
                <w:rFonts w:ascii="Times New Roman" w:eastAsia="Calibri" w:hAnsi="Times New Roman" w:cs="Times New Roman"/>
                <w:sz w:val="18"/>
                <w:szCs w:val="18"/>
              </w:rPr>
              <w:t>Кстовский муниципальный округ</w:t>
            </w:r>
          </w:p>
        </w:tc>
        <w:tc>
          <w:tcPr>
            <w:tcW w:w="1538" w:type="pct"/>
          </w:tcPr>
          <w:p w14:paraId="64539F1E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E4D">
              <w:rPr>
                <w:rFonts w:ascii="Times New Roman" w:eastAsia="Calibri" w:hAnsi="Times New Roman" w:cs="Times New Roman"/>
                <w:sz w:val="18"/>
                <w:szCs w:val="18"/>
              </w:rPr>
              <w:t>Починковский муниципальный округ</w:t>
            </w:r>
          </w:p>
        </w:tc>
        <w:tc>
          <w:tcPr>
            <w:tcW w:w="1588" w:type="pct"/>
          </w:tcPr>
          <w:p w14:paraId="770C254A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E4D">
              <w:rPr>
                <w:rFonts w:ascii="Times New Roman" w:eastAsia="Calibri" w:hAnsi="Times New Roman" w:cs="Times New Roman"/>
                <w:sz w:val="18"/>
                <w:szCs w:val="18"/>
              </w:rPr>
              <w:t>Уренский муниципальный округ</w:t>
            </w:r>
          </w:p>
        </w:tc>
      </w:tr>
      <w:tr w:rsidR="00554E4D" w:rsidRPr="00554E4D" w14:paraId="61A52D4E" w14:textId="77777777" w:rsidTr="002F5CAA">
        <w:trPr>
          <w:trHeight w:val="455"/>
        </w:trPr>
        <w:tc>
          <w:tcPr>
            <w:tcW w:w="1873" w:type="pct"/>
          </w:tcPr>
          <w:p w14:paraId="0DE70A44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E4D">
              <w:rPr>
                <w:rFonts w:ascii="Times New Roman" w:eastAsia="Calibri" w:hAnsi="Times New Roman" w:cs="Times New Roman"/>
                <w:sz w:val="18"/>
                <w:szCs w:val="18"/>
              </w:rPr>
              <w:t>Лысковский муниципальный округ</w:t>
            </w:r>
          </w:p>
        </w:tc>
        <w:tc>
          <w:tcPr>
            <w:tcW w:w="1538" w:type="pct"/>
          </w:tcPr>
          <w:p w14:paraId="73819516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E4D">
              <w:rPr>
                <w:rFonts w:ascii="Times New Roman" w:eastAsia="Calibri" w:hAnsi="Times New Roman" w:cs="Times New Roman"/>
                <w:sz w:val="18"/>
                <w:szCs w:val="18"/>
              </w:rPr>
              <w:t>Сергачский муниципальный округ</w:t>
            </w:r>
          </w:p>
        </w:tc>
        <w:tc>
          <w:tcPr>
            <w:tcW w:w="1588" w:type="pct"/>
          </w:tcPr>
          <w:p w14:paraId="4D416AA5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E4D">
              <w:rPr>
                <w:rFonts w:ascii="Times New Roman" w:eastAsia="Calibri" w:hAnsi="Times New Roman" w:cs="Times New Roman"/>
                <w:sz w:val="18"/>
                <w:szCs w:val="18"/>
              </w:rPr>
              <w:t>Шарангский муниципальный округ</w:t>
            </w:r>
          </w:p>
        </w:tc>
      </w:tr>
      <w:tr w:rsidR="00554E4D" w:rsidRPr="00554E4D" w14:paraId="628E0FC8" w14:textId="77777777" w:rsidTr="002F5CAA">
        <w:tc>
          <w:tcPr>
            <w:tcW w:w="1873" w:type="pct"/>
          </w:tcPr>
          <w:p w14:paraId="18C802B9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E4D">
              <w:rPr>
                <w:rFonts w:ascii="Times New Roman" w:eastAsia="Calibri" w:hAnsi="Times New Roman" w:cs="Times New Roman"/>
                <w:sz w:val="18"/>
                <w:szCs w:val="18"/>
              </w:rPr>
              <w:t>Павловский муниципальный округ</w:t>
            </w:r>
          </w:p>
          <w:p w14:paraId="4C1D3093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8" w:type="pct"/>
          </w:tcPr>
          <w:p w14:paraId="16DD482E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E4D">
              <w:rPr>
                <w:rFonts w:ascii="Times New Roman" w:eastAsia="Calibri" w:hAnsi="Times New Roman" w:cs="Times New Roman"/>
                <w:sz w:val="18"/>
                <w:szCs w:val="18"/>
              </w:rPr>
              <w:t>Сеченовский муниципальный округ</w:t>
            </w:r>
          </w:p>
        </w:tc>
        <w:tc>
          <w:tcPr>
            <w:tcW w:w="1588" w:type="pct"/>
          </w:tcPr>
          <w:p w14:paraId="4226B8D8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E4D">
              <w:rPr>
                <w:rFonts w:ascii="Times New Roman" w:eastAsia="Calibri" w:hAnsi="Times New Roman" w:cs="Times New Roman"/>
                <w:sz w:val="18"/>
                <w:szCs w:val="18"/>
              </w:rPr>
              <w:t>городской округ г. Бор</w:t>
            </w:r>
          </w:p>
        </w:tc>
      </w:tr>
      <w:tr w:rsidR="00554E4D" w:rsidRPr="00554E4D" w14:paraId="29DF445B" w14:textId="77777777" w:rsidTr="002F5CAA">
        <w:tc>
          <w:tcPr>
            <w:tcW w:w="1873" w:type="pct"/>
          </w:tcPr>
          <w:p w14:paraId="7F005946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E4D">
              <w:rPr>
                <w:rFonts w:ascii="Times New Roman" w:eastAsia="Calibri" w:hAnsi="Times New Roman" w:cs="Times New Roman"/>
                <w:sz w:val="18"/>
                <w:szCs w:val="18"/>
              </w:rPr>
              <w:t>городской округ Перевозский</w:t>
            </w:r>
          </w:p>
        </w:tc>
        <w:tc>
          <w:tcPr>
            <w:tcW w:w="1538" w:type="pct"/>
          </w:tcPr>
          <w:p w14:paraId="4B6DC8AB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E4D">
              <w:rPr>
                <w:rFonts w:ascii="Times New Roman" w:eastAsia="Calibri" w:hAnsi="Times New Roman" w:cs="Times New Roman"/>
                <w:sz w:val="18"/>
                <w:szCs w:val="18"/>
              </w:rPr>
              <w:t>Спасский муниципальный округ</w:t>
            </w:r>
          </w:p>
        </w:tc>
        <w:tc>
          <w:tcPr>
            <w:tcW w:w="1588" w:type="pct"/>
          </w:tcPr>
          <w:p w14:paraId="4DB813E0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E4D">
              <w:rPr>
                <w:rFonts w:ascii="Times New Roman" w:eastAsia="Calibri" w:hAnsi="Times New Roman" w:cs="Times New Roman"/>
                <w:sz w:val="18"/>
                <w:szCs w:val="18"/>
              </w:rPr>
              <w:t>городской округ Семеновский</w:t>
            </w:r>
          </w:p>
        </w:tc>
      </w:tr>
      <w:tr w:rsidR="00554E4D" w:rsidRPr="00554E4D" w14:paraId="69DEEB55" w14:textId="77777777" w:rsidTr="002F5CAA">
        <w:tc>
          <w:tcPr>
            <w:tcW w:w="1873" w:type="pct"/>
          </w:tcPr>
          <w:p w14:paraId="754E1193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E4D">
              <w:rPr>
                <w:rFonts w:ascii="Times New Roman" w:eastAsia="Calibri" w:hAnsi="Times New Roman" w:cs="Times New Roman"/>
                <w:sz w:val="18"/>
                <w:szCs w:val="18"/>
              </w:rPr>
              <w:t>Сосновский муниципальный округ</w:t>
            </w:r>
          </w:p>
        </w:tc>
        <w:tc>
          <w:tcPr>
            <w:tcW w:w="1538" w:type="pct"/>
          </w:tcPr>
          <w:p w14:paraId="4F052F49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E4D">
              <w:rPr>
                <w:rFonts w:ascii="Times New Roman" w:eastAsia="Calibri" w:hAnsi="Times New Roman" w:cs="Times New Roman"/>
                <w:sz w:val="18"/>
                <w:szCs w:val="18"/>
              </w:rPr>
              <w:t>Шатковский муниципальный округ</w:t>
            </w:r>
          </w:p>
        </w:tc>
        <w:tc>
          <w:tcPr>
            <w:tcW w:w="1588" w:type="pct"/>
          </w:tcPr>
          <w:p w14:paraId="14F3D92A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E4D">
              <w:rPr>
                <w:rFonts w:ascii="Times New Roman" w:eastAsia="Calibri" w:hAnsi="Times New Roman" w:cs="Times New Roman"/>
                <w:sz w:val="18"/>
                <w:szCs w:val="18"/>
              </w:rPr>
              <w:t>городской округ Сокольский</w:t>
            </w:r>
          </w:p>
        </w:tc>
      </w:tr>
      <w:tr w:rsidR="00554E4D" w:rsidRPr="00554E4D" w14:paraId="53D8D06A" w14:textId="77777777" w:rsidTr="002F5CAA">
        <w:tc>
          <w:tcPr>
            <w:tcW w:w="1873" w:type="pct"/>
          </w:tcPr>
          <w:p w14:paraId="27F71C3C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E4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городской округ </w:t>
            </w:r>
            <w:proofErr w:type="spellStart"/>
            <w:r w:rsidRPr="00554E4D">
              <w:rPr>
                <w:rFonts w:ascii="Times New Roman" w:eastAsia="Calibri" w:hAnsi="Times New Roman" w:cs="Times New Roman"/>
                <w:sz w:val="18"/>
                <w:szCs w:val="18"/>
              </w:rPr>
              <w:t>г.Нижний</w:t>
            </w:r>
            <w:proofErr w:type="spellEnd"/>
            <w:r w:rsidRPr="00554E4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Новгород</w:t>
            </w:r>
          </w:p>
        </w:tc>
        <w:tc>
          <w:tcPr>
            <w:tcW w:w="1538" w:type="pct"/>
          </w:tcPr>
          <w:p w14:paraId="4E02E30B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E4D">
              <w:rPr>
                <w:rFonts w:ascii="Times New Roman" w:eastAsia="Calibri" w:hAnsi="Times New Roman" w:cs="Times New Roman"/>
                <w:sz w:val="18"/>
                <w:szCs w:val="18"/>
              </w:rPr>
              <w:t>городской округ г. Выкса</w:t>
            </w:r>
          </w:p>
        </w:tc>
        <w:tc>
          <w:tcPr>
            <w:tcW w:w="1588" w:type="pct"/>
          </w:tcPr>
          <w:p w14:paraId="5FCCEE24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E4D">
              <w:rPr>
                <w:rFonts w:ascii="Times New Roman" w:eastAsia="Calibri" w:hAnsi="Times New Roman" w:cs="Times New Roman"/>
                <w:sz w:val="18"/>
                <w:szCs w:val="18"/>
              </w:rPr>
              <w:t>городской округ г. Чкаловск</w:t>
            </w:r>
          </w:p>
        </w:tc>
      </w:tr>
      <w:tr w:rsidR="00554E4D" w:rsidRPr="00554E4D" w14:paraId="607F4FF9" w14:textId="77777777" w:rsidTr="002F5CAA">
        <w:tc>
          <w:tcPr>
            <w:tcW w:w="1873" w:type="pct"/>
          </w:tcPr>
          <w:p w14:paraId="3FC05D95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E4D">
              <w:rPr>
                <w:rFonts w:ascii="Times New Roman" w:eastAsia="Calibri" w:hAnsi="Times New Roman" w:cs="Times New Roman"/>
                <w:sz w:val="18"/>
                <w:szCs w:val="18"/>
              </w:rPr>
              <w:t>городской округ г. Дзержинск</w:t>
            </w:r>
          </w:p>
        </w:tc>
        <w:tc>
          <w:tcPr>
            <w:tcW w:w="1538" w:type="pct"/>
          </w:tcPr>
          <w:p w14:paraId="51D2E642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E4D">
              <w:rPr>
                <w:rFonts w:ascii="Times New Roman" w:eastAsia="Calibri" w:hAnsi="Times New Roman" w:cs="Times New Roman"/>
                <w:sz w:val="18"/>
                <w:szCs w:val="18"/>
              </w:rPr>
              <w:t>городской округ г. Первомайск</w:t>
            </w:r>
          </w:p>
        </w:tc>
        <w:tc>
          <w:tcPr>
            <w:tcW w:w="1588" w:type="pct"/>
          </w:tcPr>
          <w:p w14:paraId="22D8569B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E4D">
              <w:rPr>
                <w:rFonts w:ascii="Times New Roman" w:eastAsia="Calibri" w:hAnsi="Times New Roman" w:cs="Times New Roman"/>
                <w:sz w:val="18"/>
                <w:szCs w:val="18"/>
              </w:rPr>
              <w:t>городской округ г. Шахунья</w:t>
            </w:r>
          </w:p>
        </w:tc>
      </w:tr>
      <w:tr w:rsidR="00554E4D" w:rsidRPr="00554E4D" w14:paraId="49DB4405" w14:textId="77777777" w:rsidTr="002F5CAA">
        <w:tc>
          <w:tcPr>
            <w:tcW w:w="1873" w:type="pct"/>
          </w:tcPr>
          <w:p w14:paraId="0F2BF13B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8" w:type="pct"/>
          </w:tcPr>
          <w:p w14:paraId="23D21BE2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E4D">
              <w:rPr>
                <w:rFonts w:ascii="Times New Roman" w:eastAsia="Calibri" w:hAnsi="Times New Roman" w:cs="Times New Roman"/>
                <w:sz w:val="18"/>
                <w:szCs w:val="18"/>
              </w:rPr>
              <w:t>городской округ г. Кулебаки</w:t>
            </w:r>
          </w:p>
        </w:tc>
        <w:tc>
          <w:tcPr>
            <w:tcW w:w="1588" w:type="pct"/>
          </w:tcPr>
          <w:p w14:paraId="4E847076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4E4D" w:rsidRPr="00554E4D" w14:paraId="721D762F" w14:textId="77777777" w:rsidTr="002F5CAA">
        <w:tc>
          <w:tcPr>
            <w:tcW w:w="1873" w:type="pct"/>
          </w:tcPr>
          <w:p w14:paraId="7BCD55E5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8" w:type="pct"/>
          </w:tcPr>
          <w:p w14:paraId="0F65297B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4E4D">
              <w:rPr>
                <w:rFonts w:ascii="Times New Roman" w:eastAsia="Calibri" w:hAnsi="Times New Roman" w:cs="Times New Roman"/>
                <w:sz w:val="18"/>
                <w:szCs w:val="18"/>
              </w:rPr>
              <w:t>городской округ Навашинский</w:t>
            </w:r>
          </w:p>
        </w:tc>
        <w:tc>
          <w:tcPr>
            <w:tcW w:w="1588" w:type="pct"/>
          </w:tcPr>
          <w:p w14:paraId="36F50DC1" w14:textId="77777777" w:rsidR="00554E4D" w:rsidRPr="00554E4D" w:rsidRDefault="00554E4D" w:rsidP="00554E4D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2845F36F" w14:textId="77777777" w:rsidR="009B371B" w:rsidRDefault="009B371B"/>
    <w:sectPr w:rsidR="009B3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4D"/>
    <w:rsid w:val="00077375"/>
    <w:rsid w:val="00554E4D"/>
    <w:rsid w:val="00923FB6"/>
    <w:rsid w:val="009B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A6C6"/>
  <w15:chartTrackingRefBased/>
  <w15:docId w15:val="{5689B005-7015-40EA-9E43-30D1FEC2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unhideWhenUsed/>
    <w:locked/>
    <w:rsid w:val="00554E4D"/>
    <w:pPr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5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 Анастасия Васильевна</dc:creator>
  <cp:keywords/>
  <dc:description/>
  <cp:lastModifiedBy>Костина Анастасия Васильевна</cp:lastModifiedBy>
  <cp:revision>1</cp:revision>
  <dcterms:created xsi:type="dcterms:W3CDTF">2024-12-17T08:12:00Z</dcterms:created>
  <dcterms:modified xsi:type="dcterms:W3CDTF">2024-12-17T08:14:00Z</dcterms:modified>
</cp:coreProperties>
</file>